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FC" w:rsidRPr="00516EA0" w:rsidRDefault="00C25523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85FFC" w:rsidRPr="00516EA0" w:rsidRDefault="00C25523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85FFC" w:rsidRPr="00516EA0" w:rsidRDefault="00C25523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885FFC" w:rsidRPr="00516EA0" w:rsidRDefault="00885FFC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6EA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885FFC">
        <w:rPr>
          <w:rFonts w:ascii="Times New Roman" w:eastAsia="Times New Roman" w:hAnsi="Times New Roman" w:cs="Times New Roman"/>
          <w:sz w:val="24"/>
          <w:szCs w:val="24"/>
          <w:lang w:val="en-US"/>
        </w:rPr>
        <w:t>06-2/85-18</w:t>
      </w:r>
    </w:p>
    <w:p w:rsidR="00885FFC" w:rsidRPr="00516EA0" w:rsidRDefault="00885FFC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25523"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proofErr w:type="gramEnd"/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85FFC" w:rsidRPr="00516EA0" w:rsidRDefault="00C25523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85FFC" w:rsidRDefault="00885FFC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5FFC" w:rsidRPr="00516EA0" w:rsidRDefault="00885FFC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5FFC" w:rsidRPr="00516EA0" w:rsidRDefault="00C25523" w:rsidP="00885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885FFC" w:rsidRPr="00516EA0" w:rsidRDefault="00885FFC" w:rsidP="00885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885FFC" w:rsidRPr="00516EA0" w:rsidRDefault="00C25523" w:rsidP="00885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FFC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85FFC" w:rsidRPr="00516EA0" w:rsidRDefault="00885FFC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5FFC" w:rsidRPr="00516EA0" w:rsidRDefault="00885FFC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85FFC" w:rsidRPr="00516EA0" w:rsidRDefault="00885FFC" w:rsidP="00885FFC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5FFC" w:rsidRPr="00516EA0" w:rsidRDefault="00885FFC" w:rsidP="00885FF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la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85FFC" w:rsidRPr="00516EA0" w:rsidRDefault="00885FFC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Milena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Turk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Ivana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Borka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Grubor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Cokić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Ljubinko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Bogosavljević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Bošković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Jasmina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Duško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Tarbuk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Desanka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Repac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Vladimira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Petkovića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FFC" w:rsidRPr="00516EA0" w:rsidRDefault="00885FFC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FFC" w:rsidRPr="00516EA0" w:rsidRDefault="00C25523" w:rsidP="0088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Sonja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Vlahović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Petković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Borislav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Miroslava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Stanković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Đuričić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Dejan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Nada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Lazić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Nenad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Milić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FFC" w:rsidRPr="00516EA0" w:rsidRDefault="00885FFC" w:rsidP="0088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FFC" w:rsidRDefault="00C25523" w:rsidP="0088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85FFC" w:rsidRPr="00516EA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Ivan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Karić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Biljana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Filipović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pomoćnik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međunarodnu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integracije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Sandra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Milićević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Sperlić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načelnik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Odeljenja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integracije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Sektoru</w:t>
      </w:r>
      <w:r w:rsidR="00885FFC" w:rsidRP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85FFC" w:rsidRP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međunarodnu</w:t>
      </w:r>
      <w:r w:rsidR="00885FFC" w:rsidRP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885FFC" w:rsidRP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85FFC" w:rsidRP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885FFC" w:rsidRP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integracije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Inić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savetnik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projekte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kabinetu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Mladen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Petković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savetnik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kabinetu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FFC" w:rsidRPr="00516EA0" w:rsidRDefault="00885FFC" w:rsidP="0088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FFC" w:rsidRPr="00516EA0" w:rsidRDefault="00C25523" w:rsidP="0088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prisutvovali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stolice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Tanja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Petrović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Mladih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istraživača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Nataša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Đereg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ekologiju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održivi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CEKOR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Momčilović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Beogradske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otvorene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škole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Grujić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885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Oaza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FFC" w:rsidRPr="00516EA0" w:rsidRDefault="00885FFC" w:rsidP="0088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FFC" w:rsidRPr="00516EA0" w:rsidRDefault="00885FFC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EA0"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devet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5FFC" w:rsidRPr="00516EA0" w:rsidRDefault="00885FFC" w:rsidP="00885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FFC" w:rsidRPr="00516EA0" w:rsidRDefault="00C25523" w:rsidP="00885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85FFC" w:rsidRPr="00516EA0" w:rsidRDefault="00885FFC" w:rsidP="00885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FFC" w:rsidRPr="00885FFC" w:rsidRDefault="00C25523" w:rsidP="00885FF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Informisanje</w:t>
      </w:r>
      <w:r w:rsidR="00885FFC" w:rsidRPr="00885FFC">
        <w:rPr>
          <w:lang w:val="sr-Cyrl-CS"/>
        </w:rPr>
        <w:t xml:space="preserve"> </w:t>
      </w:r>
      <w:r>
        <w:rPr>
          <w:lang w:val="sr-Cyrl-CS"/>
        </w:rPr>
        <w:t>Odbora</w:t>
      </w:r>
      <w:r w:rsidR="00885FFC" w:rsidRPr="00885FFC">
        <w:rPr>
          <w:lang w:val="sr-Cyrl-CS"/>
        </w:rPr>
        <w:t xml:space="preserve"> </w:t>
      </w:r>
      <w:r>
        <w:rPr>
          <w:lang w:val="sr-Cyrl-CS"/>
        </w:rPr>
        <w:t>o</w:t>
      </w:r>
      <w:r w:rsidR="00885FFC" w:rsidRPr="00885FFC">
        <w:rPr>
          <w:lang w:val="sr-Cyrl-CS"/>
        </w:rPr>
        <w:t xml:space="preserve"> </w:t>
      </w:r>
      <w:r>
        <w:rPr>
          <w:lang w:val="sr-Cyrl-CS"/>
        </w:rPr>
        <w:t>statusu</w:t>
      </w:r>
      <w:r w:rsidR="00885FFC" w:rsidRPr="00885FFC">
        <w:rPr>
          <w:lang w:val="sr-Cyrl-CS"/>
        </w:rPr>
        <w:t xml:space="preserve"> </w:t>
      </w:r>
      <w:r>
        <w:rPr>
          <w:lang w:val="sr-Cyrl-CS"/>
        </w:rPr>
        <w:t>Pregovaračke</w:t>
      </w:r>
      <w:r w:rsidR="00885FFC" w:rsidRPr="00885FFC">
        <w:rPr>
          <w:lang w:val="sr-Cyrl-CS"/>
        </w:rPr>
        <w:t xml:space="preserve"> </w:t>
      </w:r>
      <w:r>
        <w:rPr>
          <w:lang w:val="sr-Cyrl-CS"/>
        </w:rPr>
        <w:t>pozicije</w:t>
      </w:r>
      <w:r w:rsidR="00885FFC" w:rsidRPr="00885FFC">
        <w:rPr>
          <w:lang w:val="sr-Cyrl-CS"/>
        </w:rPr>
        <w:t xml:space="preserve"> </w:t>
      </w:r>
      <w:r>
        <w:rPr>
          <w:lang w:val="sr-Cyrl-CS"/>
        </w:rPr>
        <w:t>i</w:t>
      </w:r>
      <w:r w:rsidR="00885FFC" w:rsidRPr="00885FFC">
        <w:rPr>
          <w:lang w:val="sr-Cyrl-CS"/>
        </w:rPr>
        <w:t xml:space="preserve"> </w:t>
      </w:r>
      <w:r>
        <w:rPr>
          <w:lang w:val="sr-Cyrl-CS"/>
        </w:rPr>
        <w:t>planu</w:t>
      </w:r>
      <w:r w:rsidR="00885FFC" w:rsidRPr="00885FFC">
        <w:rPr>
          <w:lang w:val="sr-Cyrl-CS"/>
        </w:rPr>
        <w:t xml:space="preserve"> </w:t>
      </w:r>
      <w:r>
        <w:rPr>
          <w:lang w:val="sr-Cyrl-CS"/>
        </w:rPr>
        <w:t>aktivnosti</w:t>
      </w:r>
      <w:r w:rsidR="00885FFC" w:rsidRPr="00885FFC">
        <w:rPr>
          <w:lang w:val="sr-Cyrl-CS"/>
        </w:rPr>
        <w:t xml:space="preserve"> </w:t>
      </w:r>
      <w:r>
        <w:rPr>
          <w:lang w:val="sr-Cyrl-CS"/>
        </w:rPr>
        <w:t>Pregovaračke</w:t>
      </w:r>
      <w:r w:rsidR="00885FFC" w:rsidRPr="00885FFC">
        <w:rPr>
          <w:lang w:val="sr-Cyrl-CS"/>
        </w:rPr>
        <w:t xml:space="preserve"> </w:t>
      </w:r>
      <w:r>
        <w:rPr>
          <w:lang w:val="sr-Cyrl-CS"/>
        </w:rPr>
        <w:t>grupe</w:t>
      </w:r>
      <w:r w:rsidR="00885FFC" w:rsidRPr="00885FFC">
        <w:rPr>
          <w:lang w:val="sr-Cyrl-CS"/>
        </w:rPr>
        <w:t xml:space="preserve"> </w:t>
      </w:r>
      <w:r>
        <w:rPr>
          <w:lang w:val="sr-Cyrl-CS"/>
        </w:rPr>
        <w:t>za</w:t>
      </w:r>
      <w:r w:rsidR="00885FFC" w:rsidRPr="00885FFC">
        <w:rPr>
          <w:lang w:val="sr-Cyrl-CS"/>
        </w:rPr>
        <w:t xml:space="preserve"> </w:t>
      </w:r>
      <w:r>
        <w:rPr>
          <w:lang w:val="sr-Cyrl-CS"/>
        </w:rPr>
        <w:t>Poglavlje</w:t>
      </w:r>
      <w:r w:rsidR="00885FFC" w:rsidRPr="00885FFC">
        <w:rPr>
          <w:lang w:val="sr-Cyrl-CS"/>
        </w:rPr>
        <w:t xml:space="preserve"> 27;</w:t>
      </w:r>
    </w:p>
    <w:p w:rsidR="00885FFC" w:rsidRPr="00885FFC" w:rsidRDefault="00C25523" w:rsidP="00885FF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885FFC" w:rsidRPr="00885FFC">
        <w:rPr>
          <w:lang w:val="sr-Cyrl-CS"/>
        </w:rPr>
        <w:t>.</w:t>
      </w:r>
    </w:p>
    <w:p w:rsidR="00885FFC" w:rsidRPr="00516EA0" w:rsidRDefault="00885FFC" w:rsidP="00885FFC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5FFC" w:rsidRPr="00516EA0" w:rsidRDefault="00885FFC" w:rsidP="0088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utvrđenom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dnevnom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redu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devet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51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5B7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sednce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5B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marta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19C" w:rsidRDefault="00885FFC" w:rsidP="005155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16EA0"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  <w:u w:val="single"/>
        </w:rPr>
        <w:t>Prva</w:t>
      </w:r>
      <w:r w:rsidRPr="00516E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u w:val="single"/>
        </w:rPr>
        <w:t>tačka</w:t>
      </w:r>
      <w:r w:rsidRPr="00516E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u w:val="single"/>
        </w:rPr>
        <w:t>dnevnog</w:t>
      </w:r>
      <w:r w:rsidRPr="00516E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  <w:u w:val="single"/>
        </w:rPr>
        <w:t>reda</w:t>
      </w:r>
      <w:r w:rsidRPr="00516E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Informisanje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statusu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Pregovaračke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pozicije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planu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aktivnosti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Pregovaračke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grupe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55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Poglavlje</w:t>
      </w:r>
      <w:r w:rsidR="005155B7" w:rsidRPr="005155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27</w:t>
      </w:r>
    </w:p>
    <w:p w:rsidR="00885FFC" w:rsidRPr="00E03C3A" w:rsidRDefault="005155B7" w:rsidP="00515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Ministratva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predstavio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Odboru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pozicije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dalji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aktivnosti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Poglavlje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27.</w:t>
      </w:r>
      <w:r w:rsidR="00AA5C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pozicija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Poglavlje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27,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specifičnim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planovima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implementacije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otvoreno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ovo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poglavlje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specifičnosti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pregovaranja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Poglavlju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27: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dužina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trajanja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finanisijski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izazovi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projekcije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uraditi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20-25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implementacije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imati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vidu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sprovodi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interesu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tek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onda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obaveza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pristupanje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Evropskoj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uniji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izazove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kvalitet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dostupnost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informacija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podeljenu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ili</w:t>
      </w:r>
      <w:r w:rsidR="00A9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nedovoljno</w:t>
      </w:r>
      <w:r w:rsidR="00A9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definisanu</w:t>
      </w:r>
      <w:r w:rsidR="00A9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nadelžnost</w:t>
      </w:r>
      <w:r w:rsidR="00806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806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ministarstava</w:t>
      </w:r>
      <w:r w:rsidR="00A91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nedostatak</w:t>
      </w:r>
      <w:r w:rsidR="00A9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strateškog</w:t>
      </w:r>
      <w:r w:rsidR="00A9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9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pravnog</w:t>
      </w:r>
      <w:r w:rsidR="00A9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okvira</w:t>
      </w:r>
      <w:r w:rsidR="00A9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stabilan</w:t>
      </w:r>
      <w:r w:rsidR="00A9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AA5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finansiranja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životnoj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sredini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Zeleni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fond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Dao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kratak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pregled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septembra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uspešno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završeni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ekslaratorni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bilateralni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skrining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usvajanja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Postskrining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dokumenta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septembru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odluke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osnivanju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Zelenog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novembru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trenutka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očekuje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finalizacija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nacrta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očekuje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sledeća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započne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stabilnim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Zelenim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fondom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Neophodno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uraditi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specifične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planove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implementacije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(10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dokumenata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opredeljuju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visinu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neophodnih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prvenstveno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oblastima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upravljanja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upravljanja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vodama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industrijskih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C3A">
        <w:rPr>
          <w:rFonts w:ascii="Times New Roman" w:eastAsia="Times New Roman" w:hAnsi="Times New Roman" w:cs="Times New Roman"/>
          <w:sz w:val="24"/>
          <w:szCs w:val="24"/>
          <w:lang w:val="en-US"/>
        </w:rPr>
        <w:t>IPPS</w:t>
      </w:r>
      <w:r w:rsidR="00E03C3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punom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kapacitetu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kraja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januara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imenovani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pregovaračkoj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grupi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pregovaračkom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timu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profesorka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Mirjana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Drenkovak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Ivanović</w:t>
      </w:r>
      <w:r w:rsidR="00171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profesorka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Anđelka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Mihajlov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zadužene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trebalo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februaru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održi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sastanak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ali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tog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sastanka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Održani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sastanci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civilnog</w:t>
      </w:r>
      <w:r w:rsidR="00A46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Stalne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konferencija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gradova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opština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Prvirednom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komorom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institutima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fakultetima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različitim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asocijacijama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udruženjima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upravljanja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161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Očekuje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maju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pregled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šestog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nacrta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kraja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juna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bio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predat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nacrt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prve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neformalne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Evropskoj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komisiji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Briselu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zahtevi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uradi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nešto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ranije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tokom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poslednje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nedelje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ili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prve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nedelje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juna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ali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zavisi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li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specifični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planovi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impelemntacije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sažeci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gotovi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desiti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četiri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šest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krugova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neformalnih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D469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2179" w:rsidRDefault="005155B7" w:rsidP="00515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Biljana</w:t>
      </w:r>
      <w:r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Filipović</w:t>
      </w:r>
      <w:r w:rsidRPr="0051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pomoćnik</w:t>
      </w:r>
      <w:r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Pr="005155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Sektor</w:t>
      </w:r>
      <w:r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međunarodnu</w:t>
      </w:r>
      <w:r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integracije</w:t>
      </w:r>
      <w:r w:rsidRPr="005155B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592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592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592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finalizaciji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šestog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nacrta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tekst</w:t>
      </w:r>
      <w:r w:rsidR="00592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592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592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92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592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ima</w:t>
      </w:r>
      <w:r w:rsidR="00592179">
        <w:rPr>
          <w:rFonts w:ascii="Times New Roman" w:eastAsia="Times New Roman" w:hAnsi="Times New Roman" w:cs="Times New Roman"/>
          <w:sz w:val="24"/>
          <w:szCs w:val="24"/>
        </w:rPr>
        <w:t xml:space="preserve"> 160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strana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ali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ih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imati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zavisnosti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formulacija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tranzicionih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perioda</w:t>
      </w:r>
      <w:r w:rsidR="00C377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473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73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473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473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473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473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dogovorima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usporiti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dok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izabere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novi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pozicija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obuhvata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Horizontalno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zakonodavstvo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finansijski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zahtevna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osim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geoprostornim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podacima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projkat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IPA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2013.</w:t>
      </w:r>
      <w:r w:rsidR="00C7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Druga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kvalitet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vazduha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gde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nova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3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NEC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raditi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4F1" w:rsidRPr="00CB24F1">
        <w:rPr>
          <w:rFonts w:ascii="Times New Roman" w:eastAsia="Times New Roman" w:hAnsi="Times New Roman" w:cs="Times New Roman"/>
          <w:sz w:val="24"/>
          <w:szCs w:val="24"/>
        </w:rPr>
        <w:t>ENVAP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Treća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upravljanje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uz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podršku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IPA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četiri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važne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specifične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Okvirna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otpadu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ambalaži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ambalažnom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otpadu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deponijama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elektornosm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električnom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otpadu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baterijama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lastRenderedPageBreak/>
        <w:t>Direktiva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otpadni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mulj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iziskuje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poljoprivrede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047A" w:rsidRP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šumarstva</w:t>
      </w:r>
      <w:r w:rsidR="00A5047A" w:rsidRP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5047A" w:rsidRP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vodoprivrede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Upravom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poljoprivredno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zemljište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pa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njoj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Četvrta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kvalitet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gde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rade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specifični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planovi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implementacije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četiri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4F1" w:rsidRPr="00CB24F1">
        <w:rPr>
          <w:rFonts w:ascii="Times New Roman" w:eastAsia="Times New Roman" w:hAnsi="Times New Roman" w:cs="Times New Roman"/>
          <w:sz w:val="24"/>
          <w:szCs w:val="24"/>
        </w:rPr>
        <w:t>ENVAP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="00CB24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Obavljeno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nekoliko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ciklusa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sektorskim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radnim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grupama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zainteresovanim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stranama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Peta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zaštita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prirode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prelaznih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perioda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derogacije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7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A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A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određeni</w:t>
      </w:r>
      <w:r w:rsidR="00AA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AA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</w:t>
      </w:r>
      <w:r w:rsidR="00AA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moraju</w:t>
      </w:r>
      <w:r w:rsidR="00AA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kod</w:t>
      </w:r>
      <w:r w:rsidR="00AA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AA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primenjivati</w:t>
      </w:r>
      <w:r w:rsidR="00AA57C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Direktivu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pticama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Direktivu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82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staništima</w:t>
      </w:r>
      <w:r w:rsidR="00AA57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Šesta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industrijsko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zagađenje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gde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izrada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industrijskim</w:t>
      </w:r>
      <w:r w:rsidR="004A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emisijama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pripremljena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ranijeg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IPA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dorađena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jer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pomerili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rokovi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ulazak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Evropsku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uniju</w:t>
      </w:r>
      <w:r w:rsidR="00150C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Sedma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hemikalije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kojoj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živi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nova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njoj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7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Osma</w:t>
      </w:r>
      <w:r w:rsidR="00B97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B97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B97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klimatske</w:t>
      </w:r>
      <w:r w:rsidR="00B97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promene</w:t>
      </w:r>
      <w:r w:rsidR="003C08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kvalitetu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petrola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gorivima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geološko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skladištenje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karbon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dioksida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planu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izrade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specifične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planove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implementacije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sistemu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trgovine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emisijama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dorađuje</w:t>
      </w:r>
      <w:r w:rsidR="0077270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Deveta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312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deseta</w:t>
      </w:r>
      <w:r w:rsidR="00312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buka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civilna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zaštita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pripremljene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usaglašene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neformalnim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konsultacijama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Briselu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bili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zadovoljni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konceptom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planom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naša</w:t>
      </w:r>
      <w:r w:rsidR="000D5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delegacija</w:t>
      </w:r>
      <w:r w:rsidR="000D5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iznela</w:t>
      </w:r>
      <w:r w:rsidR="000D51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3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5B7" w:rsidRPr="00BD52EC" w:rsidRDefault="00C25523" w:rsidP="000148C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Sandra</w:t>
      </w:r>
      <w:r w:rsidR="005155B7"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Milićević</w:t>
      </w:r>
      <w:r w:rsidR="005155B7"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Sperlić</w:t>
      </w:r>
      <w:r w:rsidR="005155B7" w:rsidRPr="0051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načelnik</w:t>
      </w:r>
      <w:r w:rsidR="005155B7"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Odeljenja</w:t>
      </w:r>
      <w:r w:rsidR="005155B7"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155B7"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5155B7"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integracije</w:t>
      </w:r>
      <w:r w:rsidR="005155B7"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155B7"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Sektoru</w:t>
      </w:r>
      <w:r w:rsidR="005155B7"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155B7" w:rsidRPr="0051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međunarodnu</w:t>
      </w:r>
      <w:r w:rsidR="009A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9A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A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9A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integracije</w:t>
      </w:r>
      <w:r w:rsidR="000148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014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14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predstoji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revidiranje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delova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sadrže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tranzicione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periode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finalizacija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onih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delova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razgovarano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tehničkim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konsultacijama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prošlog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meseca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Briselu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tiču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dela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prirode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klimatskih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hemikalija</w:t>
      </w:r>
      <w:r w:rsidR="00E7476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Predstoji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formulacija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industrijsku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direktivu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Urađene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ozbiljne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analize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potencijalni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kakdidati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traženje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tranzicionih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adaptacionih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nekoliko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meseci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Utvrđeno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tranzicione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tražiti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industrijskog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zagađenja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adaptacione</w:t>
      </w:r>
      <w:r w:rsidR="00E14413" w:rsidRP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vrste</w:t>
      </w:r>
      <w:r w:rsidR="00E14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bismo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imali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realnije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planove</w:t>
      </w:r>
      <w:r w:rsidR="000A41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specifične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planove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implementacije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postignut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šefa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pregovaračkog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52EC">
        <w:rPr>
          <w:rFonts w:ascii="Times New Roman" w:eastAsia="Times New Roman" w:hAnsi="Times New Roman" w:cs="Times New Roman"/>
          <w:sz w:val="24"/>
          <w:szCs w:val="24"/>
          <w:lang w:val="en-US"/>
        </w:rPr>
        <w:t>DG ENVIROMENT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Direkcije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susetsku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politiku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proširenje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nacrtu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prikažu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delovi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specifičnih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planova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implementacije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spremni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predavanje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Evropskoj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aneksa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sažeci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sadržati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opis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nedostatke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implementaciji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prevazići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troškove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finansijski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potpunu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implementaciju</w:t>
      </w:r>
      <w:r w:rsidR="00BD52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A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DA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DA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A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potrebna</w:t>
      </w:r>
      <w:r w:rsidR="00DA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saglasnost</w:t>
      </w:r>
      <w:r w:rsidR="00DA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DA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DA6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kraja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usaglasi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nacrt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pregovaračkog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tima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iskoordinira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zainteresovanih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strana</w:t>
      </w:r>
      <w:r w:rsidR="008D07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sledi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Pododbor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Briselu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prikazati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napredak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prošlu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imamo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kapacitet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predstojeći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Posle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sastanci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pregovaračkom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grupom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pregovaračkim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timom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spremna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slanje</w:t>
      </w:r>
      <w:r w:rsidR="00AC5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D41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neformalne</w:t>
      </w:r>
      <w:r w:rsidR="00D41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D41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D41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Evropskom</w:t>
      </w:r>
      <w:r w:rsidR="00D41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komisijom</w:t>
      </w:r>
      <w:r w:rsidR="003F54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ED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slanja</w:t>
      </w:r>
      <w:r w:rsidR="00ED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ED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ED52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očekujemo</w:t>
      </w:r>
      <w:r w:rsidR="00ED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komentare</w:t>
      </w:r>
      <w:r w:rsidR="00ED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ED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posle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neophodna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dorada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komentarima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dosadašnje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iskustvo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govori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najverovatnije</w:t>
      </w:r>
      <w:r w:rsidR="006B6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uslediti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četiri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runde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komentara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3010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Procene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eksperata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najzahtevnije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otpadu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vodama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6,44 </w:t>
      </w:r>
      <w:r>
        <w:rPr>
          <w:rFonts w:ascii="Times New Roman" w:eastAsia="Times New Roman" w:hAnsi="Times New Roman" w:cs="Times New Roman"/>
          <w:sz w:val="24"/>
          <w:szCs w:val="24"/>
        </w:rPr>
        <w:t>milijardi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investicione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troškove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prikazan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bismo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mogli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porkijemo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troškove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narednom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: 50% </w:t>
      </w:r>
      <w:r>
        <w:rPr>
          <w:rFonts w:ascii="Times New Roman" w:eastAsia="Times New Roman" w:hAnsi="Times New Roman" w:cs="Times New Roman"/>
          <w:sz w:val="24"/>
          <w:szCs w:val="24"/>
        </w:rPr>
        <w:t>potrebih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investicija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pokrije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fondova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ostatak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nacionalnog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finansiranja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nacionalni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lokalni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20%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kredita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razgovarati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3C31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1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imati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prelazni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periodi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ograničeni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najduži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dobijen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otpadne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Pokušaćemo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pregovaramo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malo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duži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neophodnih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implementaciju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4E72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osnažiti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dijalog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Mininstarstva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integracije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sredstvima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možemo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očekujemo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unije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narednom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bismo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znali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koliko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možemo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očekujemo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narednom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0275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4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Dalja</w:t>
      </w:r>
      <w:r w:rsidR="00374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="00374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74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neophodna</w:t>
      </w:r>
      <w:r w:rsidR="00374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74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74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Delegacijom</w:t>
      </w:r>
      <w:r w:rsidR="00374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374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unije</w:t>
      </w:r>
      <w:r w:rsidR="00374A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Informisala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jedino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Pregovaračka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sajt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nalaze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dozvoljeno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podeliti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javnošću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članovima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sektorskih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radnih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sastancima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aktivnostima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7007BA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</w:p>
    <w:p w:rsidR="009A7C11" w:rsidRDefault="009A7C11" w:rsidP="00515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usledila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Grujić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Đereg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Duško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Tarbuk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Stojiljković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1AC" w:rsidRDefault="000131AC" w:rsidP="00515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Tanja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Petrović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stabilan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finansirnja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osnov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transpoziciju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posebno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sami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moramo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obezbedimo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Osvrnula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najavljeno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zapošljavanje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novih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stručnih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ukazavši</w:t>
      </w:r>
      <w:r w:rsidR="00C20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C20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nedovoljan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zaposlenih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uspostavljanju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ekoloških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mreža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ali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drugim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mestima</w:t>
      </w:r>
      <w:r w:rsidR="008653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značaj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podizanja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kapaciteta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Ministrastvu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horizontalnog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zakonodavstva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osvrnula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odgovornost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štetu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životnoj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sredini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ukazavši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značaj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čija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izrada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tri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četiri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taj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zakon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donet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zašto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kod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prirode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gde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prelaznih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perioda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tražiti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derogacije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nešto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tiče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staništa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pticama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primenjuje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derogacije</w:t>
      </w:r>
      <w:r w:rsidR="00AE20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167E" w:rsidRDefault="00B4167E" w:rsidP="00515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rekao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očekuje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ubrzo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uspostaviti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Zeleni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nezavisna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institucija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sugestija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pomoć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Delegacije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odblokiranju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bottle neck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projekte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Vrbas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Subotica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Šabac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Leskovac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Vodiće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razgovori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novom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finansiranju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fondova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očekuje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poveća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zaposlenih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administrativni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kapaciteti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podigli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moguće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odobrenja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Mininstarstva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Odgovarajući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ostala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odgovornost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štetu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životnoj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sredini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transponovana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kraja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adaptacioni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periodi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68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neki</w:t>
      </w:r>
      <w:r w:rsidR="0068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68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detalji</w:t>
      </w:r>
      <w:r w:rsidR="0068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68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ramotreni</w:t>
      </w:r>
      <w:r w:rsidR="0068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68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radnoj</w:t>
      </w:r>
      <w:r w:rsidR="0068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grupi</w:t>
      </w:r>
      <w:r w:rsidR="0068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68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68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prirode</w:t>
      </w:r>
      <w:r w:rsidR="006877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3135" w:rsidRDefault="00113135" w:rsidP="00515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Grujić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pohvalila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praktikuje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mehanizam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Zelene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stolice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Postavila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pregovore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formalno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imenovanni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rešenjem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obzirom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njih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neredovno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prisustvuju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sastancima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Navela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učestvovala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kruga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komentarisanja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specifičnih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implementacije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pijaću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vodu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okviru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vodama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primetila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prisutni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komentarisali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finansijska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procena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obezvređena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sugerisala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uključe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institucije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eksperti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lastRenderedPageBreak/>
        <w:t>procena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bolje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napravila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li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planira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uljuči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civilni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neformalne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Evropskom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komisijom</w:t>
      </w:r>
      <w:r w:rsidR="008E35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5CB" w:rsidRDefault="008E35CB" w:rsidP="00515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objasnio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grupama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obavezujući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osim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ljude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državnoj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upravi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dešava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institucije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odazivaju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pozivima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sastanke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Naveo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strani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eksperti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angažovani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okviru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SIDA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pomoć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donacija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Švedske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Projekcije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finansijske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prirode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određene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vrlo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okvirno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očekuje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predstavnik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stalno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prisutan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grupama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27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zadužen</w:t>
      </w:r>
      <w:r w:rsidR="0036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6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363BFA"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36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36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sve</w:t>
      </w:r>
      <w:r w:rsidR="0036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finansijske</w:t>
      </w:r>
      <w:r w:rsidR="0036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aspekte</w:t>
      </w:r>
      <w:r w:rsidR="0036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ostalih</w:t>
      </w:r>
      <w:r w:rsidR="00363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direktiva</w:t>
      </w:r>
      <w:r w:rsidR="00363B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pravilima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civilnog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prisustvuju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neformalnim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konsultacijama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Evropskom</w:t>
      </w:r>
      <w:r w:rsidR="00CF4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komisijom</w:t>
      </w:r>
      <w:r w:rsidR="00292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29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29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29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29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292412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</w:p>
    <w:p w:rsidR="002554FC" w:rsidRDefault="002554FC" w:rsidP="00515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Đereg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koordinator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Nacionalnog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konventa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radnu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grupu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Poglavlje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dobru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postavila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Zeleni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profunkcionisao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početkom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prihodi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dalje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slivaju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taj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fond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principu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zagađivač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plaća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vrsta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naknada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Deo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duga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reciklažnoj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industriji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isplaćen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fonda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ali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urađeno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ništa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drugo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ova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čini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1/3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propisa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57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unije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pretrpi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velike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reforme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vidu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ozelenjavanja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sektorskih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politika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energetike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poljoprivrede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</w:t>
      </w:r>
      <w:r w:rsidR="00F94155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Apelovala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poglavlju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ozbiljnije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pristupi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pitala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čije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odluka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ovo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poglavlje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kasnije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otvori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jer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utisak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moža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ozbiljnije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pristupilo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problemima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ako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ovo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poglavlje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ranije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otvorilo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9F4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F4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F4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civilno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društvo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videlo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nacrt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mnogi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njih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radnih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izradu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specifičnih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planova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implementacije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određene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direktive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Osvrnula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potpisivanje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izjava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poverljivosti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jer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zanimaju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obične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građane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Postavila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šta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dalje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očekuje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civilnog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procesu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pregovaranja</w:t>
      </w:r>
      <w:r w:rsidR="00E244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634B" w:rsidRDefault="00FB634B" w:rsidP="00515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Duško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Tarbuk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zamolio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poštuje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dnevni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vreme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odredi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mesecu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odgovaranje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predstavnika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civilnog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sektora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planirali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vreme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634B" w:rsidRDefault="00FB634B" w:rsidP="00515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Stojiljković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trebalo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više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uključe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diskusiju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211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11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komunikaciju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civilnim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sektorom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stekao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utisak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jedini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kontakt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imaju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predstavnicima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civilnog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sektora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5B7" w:rsidRDefault="00FB634B" w:rsidP="00515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naveo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Mininstarstva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sretali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razgovarali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skoro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prisutnim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predstavnicima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organizacija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civilnog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troje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četvoro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prisutnih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pripremili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razgovor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narodnim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poslanicima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Osvrnuo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pitanje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restriktivnosti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dokumenata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pregovorima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naglasivši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pravilo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unije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integralni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dokument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pregovaračke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pozicije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dok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ga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razmotre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sve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članice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unije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dostupan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javnosti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proces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ipak</w:t>
      </w:r>
      <w:r w:rsidR="00211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otvoren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211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javnost</w:t>
      </w:r>
      <w:r w:rsidR="00211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nekoliko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krugova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razgovora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lastRenderedPageBreak/>
        <w:t>predstavnicima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javnosti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civilnog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medijima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privrednim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komorama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sl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utisak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pogrešan</w:t>
      </w:r>
      <w:r w:rsidR="00892C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C68" w:rsidRPr="005155B7" w:rsidRDefault="00892C68" w:rsidP="005155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Stojiljković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apelovala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civilni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sektor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značajnije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uključen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proces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pregovora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kojoj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523">
        <w:rPr>
          <w:rFonts w:ascii="Times New Roman" w:eastAsia="Times New Roman" w:hAnsi="Times New Roman" w:cs="Times New Roman"/>
          <w:sz w:val="24"/>
          <w:szCs w:val="24"/>
        </w:rPr>
        <w:t>moguće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FFC" w:rsidRPr="00516EA0" w:rsidRDefault="00C25523" w:rsidP="00885FF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Druga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885FFC" w:rsidRPr="00516EA0" w:rsidRDefault="00885FFC" w:rsidP="0088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5FFC" w:rsidRPr="00516EA0" w:rsidRDefault="00C25523" w:rsidP="0088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85FFC" w:rsidRPr="00516EA0" w:rsidRDefault="00885FFC" w:rsidP="0088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5FFC" w:rsidRPr="00516EA0" w:rsidRDefault="00C25523" w:rsidP="0088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9A7C11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A7C11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885FFC" w:rsidRPr="00516EA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85FFC" w:rsidRPr="00516EA0" w:rsidRDefault="00885FFC" w:rsidP="00885FF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5FFC" w:rsidRPr="00516EA0" w:rsidRDefault="00885FFC" w:rsidP="00885FF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5FFC" w:rsidRPr="00516EA0" w:rsidRDefault="00885FFC" w:rsidP="00885FFC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5FFC" w:rsidRPr="00516EA0" w:rsidRDefault="00885FFC" w:rsidP="00885FFC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</w:rPr>
      </w:pPr>
      <w:r w:rsidRPr="00516EA0">
        <w:tab/>
      </w:r>
      <w:r w:rsidR="00C25523">
        <w:rPr>
          <w:rFonts w:ascii="Times New Roman" w:hAnsi="Times New Roman" w:cs="Times New Roman"/>
          <w:sz w:val="24"/>
        </w:rPr>
        <w:t>SEKRETAR</w:t>
      </w:r>
      <w:r w:rsidRPr="00516EA0">
        <w:rPr>
          <w:rFonts w:ascii="Times New Roman" w:hAnsi="Times New Roman" w:cs="Times New Roman"/>
          <w:sz w:val="24"/>
        </w:rPr>
        <w:tab/>
      </w:r>
      <w:r w:rsidR="00C25523">
        <w:rPr>
          <w:rFonts w:ascii="Times New Roman" w:hAnsi="Times New Roman" w:cs="Times New Roman"/>
          <w:sz w:val="24"/>
        </w:rPr>
        <w:t>PREDSEDNIK</w:t>
      </w:r>
    </w:p>
    <w:p w:rsidR="00885FFC" w:rsidRPr="00516EA0" w:rsidRDefault="00885FFC" w:rsidP="00885FFC">
      <w:pPr>
        <w:tabs>
          <w:tab w:val="center" w:pos="1418"/>
          <w:tab w:val="center" w:pos="7371"/>
        </w:tabs>
        <w:rPr>
          <w:lang w:val="en-US"/>
        </w:rPr>
      </w:pPr>
      <w:r w:rsidRPr="00516EA0">
        <w:rPr>
          <w:rFonts w:ascii="Times New Roman" w:hAnsi="Times New Roman" w:cs="Times New Roman"/>
          <w:sz w:val="24"/>
        </w:rPr>
        <w:tab/>
      </w:r>
      <w:r w:rsidR="00C25523">
        <w:rPr>
          <w:rFonts w:ascii="Times New Roman" w:hAnsi="Times New Roman" w:cs="Times New Roman"/>
          <w:sz w:val="24"/>
        </w:rPr>
        <w:t>Milica</w:t>
      </w:r>
      <w:r w:rsidRPr="00516EA0">
        <w:rPr>
          <w:rFonts w:ascii="Times New Roman" w:hAnsi="Times New Roman" w:cs="Times New Roman"/>
          <w:sz w:val="24"/>
        </w:rPr>
        <w:t xml:space="preserve"> </w:t>
      </w:r>
      <w:r w:rsidR="00C25523">
        <w:rPr>
          <w:rFonts w:ascii="Times New Roman" w:hAnsi="Times New Roman" w:cs="Times New Roman"/>
          <w:sz w:val="24"/>
        </w:rPr>
        <w:t>Bašić</w:t>
      </w:r>
      <w:r w:rsidRPr="00516EA0">
        <w:rPr>
          <w:rFonts w:ascii="Times New Roman" w:hAnsi="Times New Roman" w:cs="Times New Roman"/>
          <w:sz w:val="24"/>
        </w:rPr>
        <w:tab/>
      </w:r>
      <w:r w:rsidR="00C25523">
        <w:rPr>
          <w:rFonts w:ascii="Times New Roman" w:hAnsi="Times New Roman" w:cs="Times New Roman"/>
          <w:sz w:val="24"/>
        </w:rPr>
        <w:t>Ivana</w:t>
      </w:r>
      <w:r w:rsidRPr="00516EA0">
        <w:rPr>
          <w:rFonts w:ascii="Times New Roman" w:hAnsi="Times New Roman" w:cs="Times New Roman"/>
          <w:sz w:val="24"/>
        </w:rPr>
        <w:t xml:space="preserve"> </w:t>
      </w:r>
      <w:r w:rsidR="00C25523">
        <w:rPr>
          <w:rFonts w:ascii="Times New Roman" w:hAnsi="Times New Roman" w:cs="Times New Roman"/>
          <w:sz w:val="24"/>
        </w:rPr>
        <w:t>Stojiljković</w:t>
      </w:r>
    </w:p>
    <w:p w:rsidR="00885FFC" w:rsidRPr="00885FFC" w:rsidRDefault="00885FFC" w:rsidP="00885FFC">
      <w:pPr>
        <w:rPr>
          <w:lang w:val="en-US"/>
        </w:rPr>
      </w:pPr>
    </w:p>
    <w:sectPr w:rsidR="00885FFC" w:rsidRPr="00885FFC" w:rsidSect="00CA4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D6" w:rsidRDefault="002F77D6" w:rsidP="00CA4C5B">
      <w:pPr>
        <w:spacing w:after="0" w:line="240" w:lineRule="auto"/>
      </w:pPr>
      <w:r>
        <w:separator/>
      </w:r>
    </w:p>
  </w:endnote>
  <w:endnote w:type="continuationSeparator" w:id="0">
    <w:p w:rsidR="002F77D6" w:rsidRDefault="002F77D6" w:rsidP="00CA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23" w:rsidRDefault="00C25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23" w:rsidRDefault="00C255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23" w:rsidRDefault="00C25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D6" w:rsidRDefault="002F77D6" w:rsidP="00CA4C5B">
      <w:pPr>
        <w:spacing w:after="0" w:line="240" w:lineRule="auto"/>
      </w:pPr>
      <w:r>
        <w:separator/>
      </w:r>
    </w:p>
  </w:footnote>
  <w:footnote w:type="continuationSeparator" w:id="0">
    <w:p w:rsidR="002F77D6" w:rsidRDefault="002F77D6" w:rsidP="00CA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23" w:rsidRDefault="00C255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5072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4C5B" w:rsidRDefault="00CA4C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5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4C5B" w:rsidRDefault="00CA4C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23" w:rsidRDefault="00C255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FC"/>
    <w:rsid w:val="000131AC"/>
    <w:rsid w:val="000148CB"/>
    <w:rsid w:val="00027558"/>
    <w:rsid w:val="00046BE7"/>
    <w:rsid w:val="000A4174"/>
    <w:rsid w:val="000D51AA"/>
    <w:rsid w:val="00113135"/>
    <w:rsid w:val="00150C58"/>
    <w:rsid w:val="00161C6A"/>
    <w:rsid w:val="00171489"/>
    <w:rsid w:val="00193253"/>
    <w:rsid w:val="00211A06"/>
    <w:rsid w:val="002554FC"/>
    <w:rsid w:val="0027292F"/>
    <w:rsid w:val="00292412"/>
    <w:rsid w:val="002F77D6"/>
    <w:rsid w:val="0030107F"/>
    <w:rsid w:val="003120E9"/>
    <w:rsid w:val="00363BFA"/>
    <w:rsid w:val="00374A0E"/>
    <w:rsid w:val="003813F7"/>
    <w:rsid w:val="003C08B9"/>
    <w:rsid w:val="003C318B"/>
    <w:rsid w:val="003F54B5"/>
    <w:rsid w:val="0047371B"/>
    <w:rsid w:val="00491F83"/>
    <w:rsid w:val="004A548D"/>
    <w:rsid w:val="004E70E5"/>
    <w:rsid w:val="004E7247"/>
    <w:rsid w:val="005155B7"/>
    <w:rsid w:val="00570F61"/>
    <w:rsid w:val="00592179"/>
    <w:rsid w:val="0068774C"/>
    <w:rsid w:val="006B6E8D"/>
    <w:rsid w:val="007007BA"/>
    <w:rsid w:val="00772707"/>
    <w:rsid w:val="00806091"/>
    <w:rsid w:val="0086530B"/>
    <w:rsid w:val="00885FFC"/>
    <w:rsid w:val="00892C68"/>
    <w:rsid w:val="008D0793"/>
    <w:rsid w:val="008E319C"/>
    <w:rsid w:val="008E35CB"/>
    <w:rsid w:val="009940B5"/>
    <w:rsid w:val="009A7C11"/>
    <w:rsid w:val="009F2FDE"/>
    <w:rsid w:val="009F4D14"/>
    <w:rsid w:val="00A46111"/>
    <w:rsid w:val="00A5047A"/>
    <w:rsid w:val="00A91C2A"/>
    <w:rsid w:val="00AA57C3"/>
    <w:rsid w:val="00AA5C7A"/>
    <w:rsid w:val="00AC583A"/>
    <w:rsid w:val="00AE2069"/>
    <w:rsid w:val="00B4167E"/>
    <w:rsid w:val="00B97601"/>
    <w:rsid w:val="00BD4331"/>
    <w:rsid w:val="00BD52EC"/>
    <w:rsid w:val="00C02F1A"/>
    <w:rsid w:val="00C20619"/>
    <w:rsid w:val="00C25523"/>
    <w:rsid w:val="00C37729"/>
    <w:rsid w:val="00C774F4"/>
    <w:rsid w:val="00CA4C5B"/>
    <w:rsid w:val="00CB24F1"/>
    <w:rsid w:val="00CF4B57"/>
    <w:rsid w:val="00D4118D"/>
    <w:rsid w:val="00D469DE"/>
    <w:rsid w:val="00D829BB"/>
    <w:rsid w:val="00DA6F6A"/>
    <w:rsid w:val="00E03C3A"/>
    <w:rsid w:val="00E14413"/>
    <w:rsid w:val="00E24406"/>
    <w:rsid w:val="00E74761"/>
    <w:rsid w:val="00ED523A"/>
    <w:rsid w:val="00F42C03"/>
    <w:rsid w:val="00F5034A"/>
    <w:rsid w:val="00F92107"/>
    <w:rsid w:val="00F940CB"/>
    <w:rsid w:val="00F94155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FC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4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C5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A4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C5B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FC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4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C5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A4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C5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2018-06-04T08:10:00Z</dcterms:created>
  <dcterms:modified xsi:type="dcterms:W3CDTF">2018-06-04T08:10:00Z</dcterms:modified>
</cp:coreProperties>
</file>